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1.Portada</w:t>
      </w:r>
    </w:p>
    <w:p w:rsid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2.Resumen ejecutivo</w:t>
      </w:r>
    </w:p>
    <w:p w:rsidR="00D17FB9" w:rsidRDefault="00D17FB9" w:rsidP="00D17FB9">
      <w:pPr>
        <w:spacing w:after="0" w:line="276" w:lineRule="auto"/>
        <w:jc w:val="both"/>
        <w:rPr>
          <w:rFonts w:ascii="Helvetica" w:eastAsia="Times New Roman" w:hAnsi="Helvetica" w:cs="Times New Roman"/>
          <w:b/>
          <w:sz w:val="24"/>
          <w:szCs w:val="24"/>
          <w:lang w:eastAsia="es-CR"/>
        </w:rPr>
      </w:pPr>
    </w:p>
    <w:p w:rsidR="00D17FB9" w:rsidRPr="00D17FB9" w:rsidRDefault="00D17FB9" w:rsidP="00D17FB9">
      <w:pPr>
        <w:spacing w:after="0" w:line="276" w:lineRule="auto"/>
        <w:jc w:val="both"/>
        <w:rPr>
          <w:rFonts w:ascii="Helvetica" w:eastAsia="Times New Roman" w:hAnsi="Helvetica" w:cs="Times New Roman"/>
          <w:sz w:val="24"/>
          <w:szCs w:val="24"/>
          <w:lang w:eastAsia="es-CR"/>
        </w:rPr>
      </w:pPr>
      <w:r w:rsidRPr="00D17FB9">
        <w:rPr>
          <w:rFonts w:ascii="Helvetica" w:eastAsia="Times New Roman" w:hAnsi="Helvetica" w:cs="Times New Roman"/>
          <w:sz w:val="24"/>
          <w:szCs w:val="24"/>
          <w:lang w:eastAsia="es-CR"/>
        </w:rPr>
        <w:t>El presente informe técnico evalúa la continuidad del servicio d</w:t>
      </w:r>
      <w:r>
        <w:rPr>
          <w:rFonts w:ascii="Helvetica" w:eastAsia="Times New Roman" w:hAnsi="Helvetica" w:cs="Times New Roman"/>
          <w:sz w:val="24"/>
          <w:szCs w:val="24"/>
          <w:lang w:eastAsia="es-CR"/>
        </w:rPr>
        <w:t xml:space="preserve">e seguridad para la sucursal del Banco de Nacional de </w:t>
      </w:r>
      <w:r w:rsidRPr="00D17FB9">
        <w:rPr>
          <w:rFonts w:ascii="Helvetica" w:eastAsia="Times New Roman" w:hAnsi="Helvetica" w:cs="Times New Roman"/>
          <w:sz w:val="24"/>
          <w:szCs w:val="24"/>
          <w:lang w:eastAsia="es-CR"/>
        </w:rPr>
        <w:t>Guápiles, ante el vencimiento contractual con Vigilancia Total S.A. en 15 días. Tras un análisis comparativo entre el modelo vigente y la propuesta de Tecno Soluciones S.A., se determinó que la infraestructura actual presenta brechas de eficiencia que la tecnología de punta puede mitigar</w:t>
      </w:r>
      <w:r>
        <w:rPr>
          <w:rFonts w:ascii="Helvetica" w:eastAsia="Times New Roman" w:hAnsi="Helvetica" w:cs="Times New Roman"/>
          <w:sz w:val="24"/>
          <w:szCs w:val="24"/>
          <w:lang w:eastAsia="es-CR"/>
        </w:rPr>
        <w:t>…</w:t>
      </w:r>
    </w:p>
    <w:p w:rsidR="00D17FB9" w:rsidRPr="00D17FB9" w:rsidRDefault="00D17FB9" w:rsidP="00D17FB9">
      <w:pPr>
        <w:spacing w:after="0" w:line="276" w:lineRule="auto"/>
        <w:jc w:val="both"/>
        <w:rPr>
          <w:rFonts w:ascii="Helvetica" w:eastAsia="Times New Roman" w:hAnsi="Helvetica" w:cs="Times New Roman"/>
          <w:sz w:val="24"/>
          <w:szCs w:val="24"/>
          <w:lang w:eastAsia="es-CR"/>
        </w:rPr>
      </w:pPr>
    </w:p>
    <w:p w:rsidR="00D17FB9" w:rsidRPr="00D17FB9" w:rsidRDefault="00D17FB9" w:rsidP="00D17FB9">
      <w:pPr>
        <w:spacing w:after="0" w:line="276" w:lineRule="auto"/>
        <w:jc w:val="both"/>
        <w:rPr>
          <w:rFonts w:ascii="Helvetica" w:eastAsia="Times New Roman" w:hAnsi="Helvetica" w:cs="Times New Roman"/>
          <w:sz w:val="24"/>
          <w:szCs w:val="24"/>
          <w:lang w:eastAsia="es-CR"/>
        </w:rPr>
      </w:pP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3.Índice</w:t>
      </w:r>
    </w:p>
    <w:p w:rsid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4.Introducción, objetivo general y específicos</w:t>
      </w:r>
    </w:p>
    <w:p w:rsidR="00D17FB9" w:rsidRPr="00D17FB9" w:rsidRDefault="00D17FB9" w:rsidP="00D17FB9">
      <w:pPr>
        <w:pStyle w:val="Prrafodelista"/>
        <w:numPr>
          <w:ilvl w:val="0"/>
          <w:numId w:val="1"/>
        </w:num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 xml:space="preserve">Objetivo general: </w:t>
      </w:r>
      <w:r w:rsidRPr="00D17FB9">
        <w:rPr>
          <w:rFonts w:ascii="Helvetica" w:eastAsia="Times New Roman" w:hAnsi="Helvetica" w:cs="Times New Roman"/>
          <w:sz w:val="24"/>
          <w:szCs w:val="24"/>
          <w:lang w:eastAsia="es-CR"/>
        </w:rPr>
        <w:t>Determinar la propuesta de servicios de seguridad más idónea para la sucursal del Banco Nacional en Guápiles, mediante un análisis técnico comparativo que garantice la protección integral de los activos institucionales y la modernización de los sistemas de vigilancia.</w:t>
      </w:r>
    </w:p>
    <w:p w:rsidR="00D17FB9" w:rsidRPr="00D17FB9" w:rsidRDefault="00D17FB9" w:rsidP="00D17FB9">
      <w:pPr>
        <w:pStyle w:val="Prrafodelista"/>
        <w:spacing w:after="0" w:line="276" w:lineRule="auto"/>
        <w:jc w:val="both"/>
        <w:rPr>
          <w:rFonts w:ascii="Helvetica" w:eastAsia="Times New Roman" w:hAnsi="Helvetica" w:cs="Times New Roman"/>
          <w:b/>
          <w:sz w:val="24"/>
          <w:szCs w:val="24"/>
          <w:lang w:eastAsia="es-CR"/>
        </w:rPr>
      </w:pPr>
    </w:p>
    <w:p w:rsidR="00D17FB9" w:rsidRDefault="00D17FB9" w:rsidP="00D17FB9">
      <w:pPr>
        <w:pStyle w:val="Prrafodelista"/>
        <w:numPr>
          <w:ilvl w:val="0"/>
          <w:numId w:val="1"/>
        </w:numPr>
        <w:spacing w:after="0" w:line="276" w:lineRule="auto"/>
        <w:jc w:val="both"/>
        <w:rPr>
          <w:rFonts w:ascii="Helvetica" w:eastAsia="Times New Roman" w:hAnsi="Helvetica" w:cs="Times New Roman"/>
          <w:b/>
          <w:sz w:val="24"/>
          <w:szCs w:val="24"/>
          <w:lang w:eastAsia="es-CR"/>
        </w:rPr>
      </w:pPr>
      <w:r>
        <w:rPr>
          <w:rFonts w:ascii="Helvetica" w:eastAsia="Times New Roman" w:hAnsi="Helvetica" w:cs="Times New Roman"/>
          <w:b/>
          <w:sz w:val="24"/>
          <w:szCs w:val="24"/>
          <w:lang w:eastAsia="es-CR"/>
        </w:rPr>
        <w:t xml:space="preserve">Objetivos específicos: </w:t>
      </w:r>
    </w:p>
    <w:p w:rsidR="00D17FB9" w:rsidRPr="00D17FB9" w:rsidRDefault="00D17FB9" w:rsidP="00D17FB9">
      <w:pPr>
        <w:pStyle w:val="Prrafodelista"/>
        <w:numPr>
          <w:ilvl w:val="0"/>
          <w:numId w:val="1"/>
        </w:numPr>
        <w:spacing w:after="0" w:line="276" w:lineRule="auto"/>
        <w:jc w:val="both"/>
        <w:rPr>
          <w:rFonts w:ascii="Helvetica" w:eastAsia="Times New Roman" w:hAnsi="Helvetica" w:cs="Times New Roman"/>
          <w:sz w:val="24"/>
          <w:szCs w:val="24"/>
          <w:lang w:eastAsia="es-CR"/>
        </w:rPr>
      </w:pPr>
      <w:r w:rsidRPr="00D17FB9">
        <w:rPr>
          <w:rFonts w:ascii="Helvetica" w:eastAsia="Times New Roman" w:hAnsi="Helvetica" w:cs="Times New Roman"/>
          <w:sz w:val="24"/>
          <w:szCs w:val="24"/>
          <w:lang w:eastAsia="es-CR"/>
        </w:rPr>
        <w:t>Diagnosticar el rendimiento actual de la empresa Vigilancia Total S.A., identificando posibles brechas de seguridad o limitaciones en su modelo de vigilancia física tradicional.</w:t>
      </w:r>
    </w:p>
    <w:p w:rsidR="00D17FB9" w:rsidRPr="00D17FB9" w:rsidRDefault="00D17FB9" w:rsidP="00D17FB9">
      <w:pPr>
        <w:pStyle w:val="Prrafodelista"/>
        <w:spacing w:after="0" w:line="276" w:lineRule="auto"/>
        <w:jc w:val="both"/>
        <w:rPr>
          <w:rFonts w:ascii="Helvetica" w:eastAsia="Times New Roman" w:hAnsi="Helvetica" w:cs="Times New Roman"/>
          <w:b/>
          <w:sz w:val="24"/>
          <w:szCs w:val="24"/>
          <w:lang w:eastAsia="es-CR"/>
        </w:rPr>
      </w:pPr>
    </w:p>
    <w:p w:rsidR="00D17FB9" w:rsidRPr="00D17FB9" w:rsidRDefault="00D17FB9" w:rsidP="00D17FB9">
      <w:pPr>
        <w:pStyle w:val="Prrafodelista"/>
        <w:numPr>
          <w:ilvl w:val="0"/>
          <w:numId w:val="1"/>
        </w:numPr>
        <w:spacing w:after="0" w:line="276" w:lineRule="auto"/>
        <w:jc w:val="both"/>
        <w:rPr>
          <w:rFonts w:ascii="Helvetica" w:eastAsia="Times New Roman" w:hAnsi="Helvetica" w:cs="Times New Roman"/>
          <w:sz w:val="24"/>
          <w:szCs w:val="24"/>
          <w:lang w:eastAsia="es-CR"/>
        </w:rPr>
      </w:pPr>
      <w:r w:rsidRPr="00D17FB9">
        <w:rPr>
          <w:rFonts w:ascii="Helvetica" w:eastAsia="Times New Roman" w:hAnsi="Helvetica" w:cs="Times New Roman"/>
          <w:sz w:val="24"/>
          <w:szCs w:val="24"/>
          <w:lang w:eastAsia="es-CR"/>
        </w:rPr>
        <w:t>Evaluar la viabilidad técnica de las soluciones de "punta" propuestas por Tecno Soluciones S.A. (biometría, analítica de video y sensores), determinando su compatibilidad con los estándares bancarios de la sede.</w:t>
      </w:r>
    </w:p>
    <w:p w:rsidR="00D17FB9" w:rsidRPr="00D17FB9" w:rsidRDefault="00D17FB9" w:rsidP="00D17FB9">
      <w:pPr>
        <w:pStyle w:val="Prrafodelista"/>
        <w:spacing w:after="0" w:line="276" w:lineRule="auto"/>
        <w:jc w:val="both"/>
        <w:rPr>
          <w:rFonts w:ascii="Helvetica" w:eastAsia="Times New Roman" w:hAnsi="Helvetica" w:cs="Times New Roman"/>
          <w:b/>
          <w:sz w:val="24"/>
          <w:szCs w:val="24"/>
          <w:lang w:eastAsia="es-CR"/>
        </w:rPr>
      </w:pPr>
    </w:p>
    <w:p w:rsidR="00D17FB9" w:rsidRPr="00D17FB9" w:rsidRDefault="00D17FB9" w:rsidP="00D17FB9">
      <w:pPr>
        <w:pStyle w:val="Prrafodelista"/>
        <w:numPr>
          <w:ilvl w:val="0"/>
          <w:numId w:val="1"/>
        </w:numPr>
        <w:spacing w:after="0" w:line="276" w:lineRule="auto"/>
        <w:jc w:val="both"/>
        <w:rPr>
          <w:rFonts w:ascii="Helvetica" w:eastAsia="Times New Roman" w:hAnsi="Helvetica" w:cs="Times New Roman"/>
          <w:sz w:val="24"/>
          <w:szCs w:val="24"/>
          <w:lang w:eastAsia="es-CR"/>
        </w:rPr>
      </w:pPr>
      <w:r w:rsidRPr="00D17FB9">
        <w:rPr>
          <w:rFonts w:ascii="Helvetica" w:eastAsia="Times New Roman" w:hAnsi="Helvetica" w:cs="Times New Roman"/>
          <w:sz w:val="24"/>
          <w:szCs w:val="24"/>
          <w:lang w:eastAsia="es-CR"/>
        </w:rPr>
        <w:t>Analizar el impacto operativo de una eventual transición de proveedores en un plazo de 15 días, asegurando que no existan interrupciones en el resguardo de la sucursal.</w:t>
      </w:r>
      <w:bookmarkStart w:id="0" w:name="_GoBack"/>
      <w:bookmarkEnd w:id="0"/>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5. Marco teórico, metodología, análisis de datos</w:t>
      </w: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6. Presentación de resultados</w:t>
      </w: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 xml:space="preserve">7.Conclusiones </w:t>
      </w: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8. Recomendaciones</w:t>
      </w: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9. Referencias bibliográficas</w:t>
      </w:r>
    </w:p>
    <w:p w:rsidR="00D17FB9" w:rsidRPr="00D17FB9" w:rsidRDefault="00D17FB9" w:rsidP="00D17FB9">
      <w:pPr>
        <w:spacing w:after="0" w:line="276" w:lineRule="auto"/>
        <w:jc w:val="both"/>
        <w:rPr>
          <w:rFonts w:ascii="Helvetica" w:eastAsia="Times New Roman" w:hAnsi="Helvetica" w:cs="Times New Roman"/>
          <w:b/>
          <w:sz w:val="24"/>
          <w:szCs w:val="24"/>
          <w:lang w:eastAsia="es-CR"/>
        </w:rPr>
      </w:pPr>
      <w:r w:rsidRPr="00D17FB9">
        <w:rPr>
          <w:rFonts w:ascii="Helvetica" w:eastAsia="Times New Roman" w:hAnsi="Helvetica" w:cs="Times New Roman"/>
          <w:b/>
          <w:sz w:val="24"/>
          <w:szCs w:val="24"/>
          <w:lang w:eastAsia="es-CR"/>
        </w:rPr>
        <w:t>10. Anexos</w:t>
      </w:r>
    </w:p>
    <w:p w:rsidR="00D17FB9" w:rsidRPr="00D17FB9" w:rsidRDefault="00D17FB9" w:rsidP="00D17FB9">
      <w:pPr>
        <w:jc w:val="both"/>
        <w:rPr>
          <w:rFonts w:ascii="Helvetica" w:eastAsia="Times New Roman" w:hAnsi="Helvetica" w:cs="Times New Roman"/>
          <w:sz w:val="24"/>
          <w:szCs w:val="24"/>
          <w:lang w:eastAsia="es-CR"/>
        </w:rPr>
      </w:pPr>
      <w:r w:rsidRPr="00D17FB9">
        <w:rPr>
          <w:rFonts w:ascii="Helvetica" w:hAnsi="Helvetica"/>
        </w:rPr>
        <w:br w:type="page"/>
      </w:r>
    </w:p>
    <w:p w:rsidR="00AD696E" w:rsidRDefault="00D17FB9"/>
    <w:sectPr w:rsidR="00AD69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402BE"/>
    <w:multiLevelType w:val="hybridMultilevel"/>
    <w:tmpl w:val="A34E7E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B9"/>
    <w:rsid w:val="00A42340"/>
    <w:rsid w:val="00D17FB9"/>
    <w:rsid w:val="00D764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64CC"/>
  <w15:chartTrackingRefBased/>
  <w15:docId w15:val="{F4636A4B-BF85-48E9-8664-7311CD6B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7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de Comunicaciones - Alcadía</dc:creator>
  <cp:keywords/>
  <dc:description/>
  <cp:lastModifiedBy>Departamento de Comunicaciones - Alcadía</cp:lastModifiedBy>
  <cp:revision>1</cp:revision>
  <dcterms:created xsi:type="dcterms:W3CDTF">2026-03-18T23:48:00Z</dcterms:created>
  <dcterms:modified xsi:type="dcterms:W3CDTF">2026-03-18T23:55:00Z</dcterms:modified>
</cp:coreProperties>
</file>